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5EFA" w14:textId="64F56C67" w:rsidR="00ED7C22" w:rsidRDefault="00ED7C22">
      <w:pPr>
        <w:rPr>
          <w:rFonts w:ascii="Lemon/Milk" w:hAnsi="Lemon/Milk"/>
          <w:color w:val="002060"/>
          <w:sz w:val="24"/>
          <w:szCs w:val="24"/>
        </w:rPr>
      </w:pPr>
      <w:r>
        <w:rPr>
          <w:rFonts w:ascii="Lemon/Milk" w:hAnsi="Lemon/Mil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317FC8" wp14:editId="2F8F2A26">
            <wp:simplePos x="0" y="0"/>
            <wp:positionH relativeFrom="column">
              <wp:posOffset>4592689</wp:posOffset>
            </wp:positionH>
            <wp:positionV relativeFrom="paragraph">
              <wp:posOffset>-558268</wp:posOffset>
            </wp:positionV>
            <wp:extent cx="1654810" cy="718820"/>
            <wp:effectExtent l="0" t="0" r="2540" b="5080"/>
            <wp:wrapNone/>
            <wp:docPr id="929117869" name="Picture 1" descr="A logo for a student un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17869" name="Picture 1" descr="A logo for a student un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D208B" w14:textId="49CD52FC" w:rsidR="00ED7C22" w:rsidRPr="00ED7C22" w:rsidRDefault="00ED7C22">
      <w:pPr>
        <w:rPr>
          <w:rFonts w:ascii="Lemon/Milk" w:hAnsi="Lemon/Milk"/>
          <w:sz w:val="24"/>
          <w:szCs w:val="24"/>
        </w:rPr>
      </w:pPr>
      <w:r w:rsidRPr="00ED7C22">
        <w:rPr>
          <w:rFonts w:ascii="Lemon/Milk" w:hAnsi="Lemon/Milk"/>
          <w:color w:val="002060"/>
          <w:sz w:val="24"/>
          <w:szCs w:val="24"/>
        </w:rPr>
        <w:t>Environmental Aspects and Impacts</w:t>
      </w:r>
    </w:p>
    <w:p w14:paraId="7AD070AF" w14:textId="3A8AED44" w:rsidR="004E0D18" w:rsidRPr="00671343" w:rsidRDefault="002B1EA1">
      <w:pPr>
        <w:rPr>
          <w:rFonts w:ascii="Century Gothic" w:hAnsi="Century Gothic"/>
        </w:rPr>
      </w:pPr>
      <w:r w:rsidRPr="00671343">
        <w:rPr>
          <w:rFonts w:ascii="Century Gothic" w:hAnsi="Century Gothic"/>
        </w:rPr>
        <w:t xml:space="preserve">The below represents Winchester Student Union’s </w:t>
      </w:r>
      <w:r w:rsidRPr="00671343">
        <w:rPr>
          <w:rFonts w:ascii="Century Gothic" w:hAnsi="Century Gothic"/>
          <w:b/>
          <w:bCs/>
          <w:color w:val="002060"/>
        </w:rPr>
        <w:t xml:space="preserve">Environmental </w:t>
      </w:r>
      <w:r w:rsidR="00441036">
        <w:rPr>
          <w:rFonts w:ascii="Century Gothic" w:hAnsi="Century Gothic"/>
          <w:b/>
          <w:bCs/>
          <w:color w:val="002060"/>
        </w:rPr>
        <w:t>Aspects and Impacts</w:t>
      </w:r>
      <w:r w:rsidRPr="00671343">
        <w:rPr>
          <w:rFonts w:ascii="Century Gothic" w:hAnsi="Century Gothic"/>
        </w:rPr>
        <w:t xml:space="preserve"> for 2023/2024.</w:t>
      </w:r>
    </w:p>
    <w:p w14:paraId="59052367" w14:textId="41B2F04F" w:rsidR="00F51343" w:rsidRPr="00671343" w:rsidRDefault="00F51343" w:rsidP="00F51343">
      <w:pPr>
        <w:rPr>
          <w:rFonts w:ascii="Century Gothic" w:hAnsi="Century Gothic"/>
        </w:rPr>
      </w:pPr>
      <w:r w:rsidRPr="00671343">
        <w:rPr>
          <w:rFonts w:ascii="Century Gothic" w:hAnsi="Century Gothic"/>
        </w:rPr>
        <w:t xml:space="preserve">Winchester Student Union provides activities and services on behalf of our </w:t>
      </w:r>
      <w:r w:rsidR="00721AB1" w:rsidRPr="00671343">
        <w:rPr>
          <w:rFonts w:ascii="Century Gothic" w:hAnsi="Century Gothic"/>
        </w:rPr>
        <w:t xml:space="preserve">student </w:t>
      </w:r>
      <w:r w:rsidRPr="00671343">
        <w:rPr>
          <w:rFonts w:ascii="Century Gothic" w:hAnsi="Century Gothic"/>
        </w:rPr>
        <w:t>members, whilst representing those students</w:t>
      </w:r>
      <w:r w:rsidR="00721AB1" w:rsidRPr="00671343">
        <w:rPr>
          <w:rFonts w:ascii="Century Gothic" w:hAnsi="Century Gothic"/>
        </w:rPr>
        <w:t xml:space="preserve"> to the University and beyond</w:t>
      </w:r>
      <w:r w:rsidRPr="00671343">
        <w:rPr>
          <w:rFonts w:ascii="Century Gothic" w:hAnsi="Century Gothic"/>
        </w:rPr>
        <w:t xml:space="preserve">. We </w:t>
      </w:r>
      <w:r w:rsidR="00721AB1" w:rsidRPr="00671343">
        <w:rPr>
          <w:rFonts w:ascii="Century Gothic" w:hAnsi="Century Gothic"/>
        </w:rPr>
        <w:t xml:space="preserve">physically </w:t>
      </w:r>
      <w:r w:rsidRPr="00671343">
        <w:rPr>
          <w:rFonts w:ascii="Century Gothic" w:hAnsi="Century Gothic"/>
        </w:rPr>
        <w:t xml:space="preserve">operate in </w:t>
      </w:r>
      <w:r w:rsidR="00721AB1" w:rsidRPr="00671343">
        <w:rPr>
          <w:rFonts w:ascii="Century Gothic" w:hAnsi="Century Gothic"/>
        </w:rPr>
        <w:t>the University buildings, the King Alfred Centre and the West Downs Annex</w:t>
      </w:r>
      <w:r w:rsidRPr="00671343">
        <w:rPr>
          <w:rFonts w:ascii="Century Gothic" w:hAnsi="Century Gothic"/>
        </w:rPr>
        <w:t xml:space="preserve"> and our facilities include office</w:t>
      </w:r>
      <w:r w:rsidR="000D2E16" w:rsidRPr="00671343">
        <w:rPr>
          <w:rFonts w:ascii="Century Gothic" w:hAnsi="Century Gothic"/>
        </w:rPr>
        <w:t>s</w:t>
      </w:r>
      <w:r w:rsidRPr="00671343">
        <w:rPr>
          <w:rFonts w:ascii="Century Gothic" w:hAnsi="Century Gothic"/>
        </w:rPr>
        <w:t>, shop</w:t>
      </w:r>
      <w:r w:rsidR="000D2E16" w:rsidRPr="00671343">
        <w:rPr>
          <w:rFonts w:ascii="Century Gothic" w:hAnsi="Century Gothic"/>
        </w:rPr>
        <w:t>s, laundries, venue spaces</w:t>
      </w:r>
      <w:r w:rsidRPr="00671343">
        <w:rPr>
          <w:rFonts w:ascii="Century Gothic" w:hAnsi="Century Gothic"/>
        </w:rPr>
        <w:t xml:space="preserve"> and </w:t>
      </w:r>
      <w:r w:rsidR="00600A33" w:rsidRPr="00671343">
        <w:rPr>
          <w:rFonts w:ascii="Century Gothic" w:hAnsi="Century Gothic"/>
        </w:rPr>
        <w:t>bars</w:t>
      </w:r>
      <w:r w:rsidRPr="00671343">
        <w:rPr>
          <w:rFonts w:ascii="Century Gothic" w:hAnsi="Century Gothic"/>
        </w:rPr>
        <w:t xml:space="preserve">. </w:t>
      </w:r>
      <w:r w:rsidR="00600A33" w:rsidRPr="00671343">
        <w:rPr>
          <w:rFonts w:ascii="Century Gothic" w:hAnsi="Century Gothic"/>
        </w:rPr>
        <w:t>We also operate two vehicles (a 16 seat Minibus and 7 seater MPV) to provide transport solutions for members.</w:t>
      </w:r>
    </w:p>
    <w:p w14:paraId="73383F79" w14:textId="1BA86C13" w:rsidR="00F51343" w:rsidRPr="00671343" w:rsidRDefault="00600A33" w:rsidP="00F51343">
      <w:pPr>
        <w:rPr>
          <w:rFonts w:ascii="Century Gothic" w:hAnsi="Century Gothic"/>
        </w:rPr>
      </w:pPr>
      <w:r w:rsidRPr="00671343">
        <w:rPr>
          <w:rFonts w:ascii="Century Gothic" w:hAnsi="Century Gothic"/>
        </w:rPr>
        <w:t xml:space="preserve">Winchester Student Union </w:t>
      </w:r>
      <w:r w:rsidR="00F51343" w:rsidRPr="00671343">
        <w:rPr>
          <w:rFonts w:ascii="Century Gothic" w:hAnsi="Century Gothic"/>
        </w:rPr>
        <w:t>recognises that all of our products, activities and services have an impact on the environment (local and</w:t>
      </w:r>
      <w:r w:rsidRPr="00671343">
        <w:rPr>
          <w:rFonts w:ascii="Century Gothic" w:hAnsi="Century Gothic"/>
        </w:rPr>
        <w:t xml:space="preserve"> </w:t>
      </w:r>
      <w:r w:rsidR="00F51343" w:rsidRPr="00671343">
        <w:rPr>
          <w:rFonts w:ascii="Century Gothic" w:hAnsi="Century Gothic"/>
        </w:rPr>
        <w:t>global</w:t>
      </w:r>
      <w:proofErr w:type="gramStart"/>
      <w:r w:rsidR="00A70E96">
        <w:rPr>
          <w:rFonts w:ascii="Century Gothic" w:hAnsi="Century Gothic"/>
        </w:rPr>
        <w:t>)</w:t>
      </w:r>
      <w:proofErr w:type="gramEnd"/>
      <w:r w:rsidR="00F51343" w:rsidRPr="00671343">
        <w:rPr>
          <w:rFonts w:ascii="Century Gothic" w:hAnsi="Century Gothic"/>
        </w:rPr>
        <w:t xml:space="preserve"> and we are committed to </w:t>
      </w:r>
      <w:r w:rsidR="000902D4" w:rsidRPr="00671343">
        <w:rPr>
          <w:rFonts w:ascii="Century Gothic" w:hAnsi="Century Gothic"/>
        </w:rPr>
        <w:t xml:space="preserve">identifying and </w:t>
      </w:r>
      <w:r w:rsidR="00F51343" w:rsidRPr="00671343">
        <w:rPr>
          <w:rFonts w:ascii="Century Gothic" w:hAnsi="Century Gothic"/>
        </w:rPr>
        <w:t>managing the environmental and social impacts of our work.</w:t>
      </w:r>
    </w:p>
    <w:p w14:paraId="2D771407" w14:textId="6B31A3B2" w:rsidR="002B1EA1" w:rsidRPr="00671343" w:rsidRDefault="00AA4D7C" w:rsidP="00F5134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following matrix establishes our </w:t>
      </w:r>
      <w:r w:rsidR="00242971">
        <w:rPr>
          <w:rFonts w:ascii="Century Gothic" w:hAnsi="Century Gothic"/>
        </w:rPr>
        <w:t xml:space="preserve">top </w:t>
      </w:r>
      <w:r>
        <w:rPr>
          <w:rFonts w:ascii="Century Gothic" w:hAnsi="Century Gothic"/>
        </w:rPr>
        <w:t>environmental aspects.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497"/>
        <w:gridCol w:w="1365"/>
        <w:gridCol w:w="1410"/>
        <w:gridCol w:w="1790"/>
        <w:gridCol w:w="1491"/>
        <w:gridCol w:w="1463"/>
      </w:tblGrid>
      <w:tr w:rsidR="002B1EA1" w14:paraId="2399BA4E" w14:textId="77777777" w:rsidTr="3619A2D9">
        <w:trPr>
          <w:trHeight w:val="135"/>
        </w:trPr>
        <w:tc>
          <w:tcPr>
            <w:tcW w:w="1497" w:type="dxa"/>
          </w:tcPr>
          <w:p w14:paraId="7D793DDE" w14:textId="136C0674" w:rsidR="002B1EA1" w:rsidRPr="008D4D25" w:rsidRDefault="002B1EA1">
            <w:pPr>
              <w:rPr>
                <w:rFonts w:ascii="Century Gothic" w:hAnsi="Century Gothic"/>
                <w:sz w:val="20"/>
                <w:szCs w:val="20"/>
              </w:rPr>
            </w:pPr>
            <w:r w:rsidRPr="008D4D25">
              <w:rPr>
                <w:rFonts w:ascii="Century Gothic" w:hAnsi="Century Gothic"/>
                <w:sz w:val="20"/>
                <w:szCs w:val="20"/>
              </w:rPr>
              <w:t>Severity of Impact</w:t>
            </w:r>
            <w:r w:rsidR="008D4D2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C5824">
              <w:rPr>
                <w:rFonts w:ascii="Wingdings" w:eastAsia="Wingdings" w:hAnsi="Wingdings" w:cs="Wingdings"/>
                <w:sz w:val="20"/>
                <w:szCs w:val="20"/>
              </w:rPr>
              <w:t>ð</w:t>
            </w:r>
          </w:p>
        </w:tc>
        <w:tc>
          <w:tcPr>
            <w:tcW w:w="1365" w:type="dxa"/>
            <w:vMerge w:val="restart"/>
          </w:tcPr>
          <w:p w14:paraId="2F476828" w14:textId="54F6E8C6" w:rsidR="002B1EA1" w:rsidRPr="007C5824" w:rsidRDefault="002B1EA1">
            <w:pPr>
              <w:rPr>
                <w:rFonts w:ascii="Lemon/Milk" w:hAnsi="Lemon/Milk"/>
                <w:sz w:val="20"/>
                <w:szCs w:val="20"/>
              </w:rPr>
            </w:pPr>
            <w:r w:rsidRPr="007C5824">
              <w:rPr>
                <w:rFonts w:ascii="Lemon/Milk" w:hAnsi="Lemon/Milk"/>
                <w:sz w:val="20"/>
                <w:szCs w:val="20"/>
              </w:rPr>
              <w:t>Very Low</w:t>
            </w:r>
          </w:p>
        </w:tc>
        <w:tc>
          <w:tcPr>
            <w:tcW w:w="1410" w:type="dxa"/>
            <w:vMerge w:val="restart"/>
          </w:tcPr>
          <w:p w14:paraId="61739FC5" w14:textId="73731470" w:rsidR="002B1EA1" w:rsidRPr="007C5824" w:rsidRDefault="002B1EA1">
            <w:pPr>
              <w:rPr>
                <w:rFonts w:ascii="Lemon/Milk" w:hAnsi="Lemon/Milk"/>
                <w:sz w:val="20"/>
                <w:szCs w:val="20"/>
              </w:rPr>
            </w:pPr>
            <w:r w:rsidRPr="007C5824">
              <w:rPr>
                <w:rFonts w:ascii="Lemon/Milk" w:hAnsi="Lemon/Milk"/>
                <w:sz w:val="20"/>
                <w:szCs w:val="20"/>
              </w:rPr>
              <w:t>Low</w:t>
            </w:r>
          </w:p>
        </w:tc>
        <w:tc>
          <w:tcPr>
            <w:tcW w:w="1790" w:type="dxa"/>
            <w:vMerge w:val="restart"/>
          </w:tcPr>
          <w:p w14:paraId="2BC52F38" w14:textId="3124BA27" w:rsidR="002B1EA1" w:rsidRPr="007C5824" w:rsidRDefault="002B1EA1">
            <w:pPr>
              <w:rPr>
                <w:rFonts w:ascii="Lemon/Milk" w:hAnsi="Lemon/Milk"/>
                <w:sz w:val="20"/>
                <w:szCs w:val="20"/>
              </w:rPr>
            </w:pPr>
            <w:r w:rsidRPr="007C5824">
              <w:rPr>
                <w:rFonts w:ascii="Lemon/Milk" w:hAnsi="Lemon/Milk"/>
                <w:sz w:val="20"/>
                <w:szCs w:val="20"/>
              </w:rPr>
              <w:t>Medium</w:t>
            </w:r>
          </w:p>
        </w:tc>
        <w:tc>
          <w:tcPr>
            <w:tcW w:w="1491" w:type="dxa"/>
            <w:vMerge w:val="restart"/>
          </w:tcPr>
          <w:p w14:paraId="46B14B57" w14:textId="5AA0AFBF" w:rsidR="002B1EA1" w:rsidRPr="007C5824" w:rsidRDefault="002B1EA1">
            <w:pPr>
              <w:rPr>
                <w:rFonts w:ascii="Lemon/Milk" w:hAnsi="Lemon/Milk"/>
                <w:sz w:val="20"/>
                <w:szCs w:val="20"/>
              </w:rPr>
            </w:pPr>
            <w:r w:rsidRPr="007C5824">
              <w:rPr>
                <w:rFonts w:ascii="Lemon/Milk" w:hAnsi="Lemon/Milk"/>
                <w:sz w:val="20"/>
                <w:szCs w:val="20"/>
              </w:rPr>
              <w:t>High</w:t>
            </w:r>
          </w:p>
        </w:tc>
        <w:tc>
          <w:tcPr>
            <w:tcW w:w="1463" w:type="dxa"/>
            <w:vMerge w:val="restart"/>
          </w:tcPr>
          <w:p w14:paraId="1AA413D6" w14:textId="05CE36A3" w:rsidR="002B1EA1" w:rsidRPr="007C5824" w:rsidRDefault="002B1EA1">
            <w:pPr>
              <w:rPr>
                <w:rFonts w:ascii="Lemon/Milk" w:hAnsi="Lemon/Milk"/>
                <w:sz w:val="20"/>
                <w:szCs w:val="20"/>
              </w:rPr>
            </w:pPr>
            <w:r w:rsidRPr="007C5824">
              <w:rPr>
                <w:rFonts w:ascii="Lemon/Milk" w:hAnsi="Lemon/Milk"/>
                <w:sz w:val="20"/>
                <w:szCs w:val="20"/>
              </w:rPr>
              <w:t>Very High</w:t>
            </w:r>
          </w:p>
        </w:tc>
      </w:tr>
      <w:tr w:rsidR="002B1EA1" w14:paraId="6CC0E5D7" w14:textId="77777777" w:rsidTr="3619A2D9">
        <w:trPr>
          <w:trHeight w:val="135"/>
        </w:trPr>
        <w:tc>
          <w:tcPr>
            <w:tcW w:w="1497" w:type="dxa"/>
          </w:tcPr>
          <w:p w14:paraId="618966B6" w14:textId="676EAA8F" w:rsidR="002B1EA1" w:rsidRPr="008D4D25" w:rsidRDefault="002B1EA1">
            <w:pPr>
              <w:rPr>
                <w:rFonts w:ascii="Century Gothic" w:hAnsi="Century Gothic"/>
                <w:sz w:val="20"/>
                <w:szCs w:val="20"/>
              </w:rPr>
            </w:pPr>
            <w:r w:rsidRPr="008D4D25">
              <w:rPr>
                <w:rFonts w:ascii="Century Gothic" w:hAnsi="Century Gothic"/>
                <w:sz w:val="20"/>
                <w:szCs w:val="20"/>
              </w:rPr>
              <w:t>Frequency</w:t>
            </w:r>
            <w:r w:rsidR="007C58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C5824">
              <w:rPr>
                <w:rFonts w:ascii="Wingdings" w:eastAsia="Wingdings" w:hAnsi="Wingdings" w:cs="Wingdings"/>
                <w:sz w:val="20"/>
                <w:szCs w:val="20"/>
              </w:rPr>
              <w:t>ò</w:t>
            </w:r>
          </w:p>
        </w:tc>
        <w:tc>
          <w:tcPr>
            <w:tcW w:w="1365" w:type="dxa"/>
            <w:vMerge/>
          </w:tcPr>
          <w:p w14:paraId="6F364EC6" w14:textId="77777777" w:rsidR="002B1EA1" w:rsidRDefault="002B1EA1"/>
        </w:tc>
        <w:tc>
          <w:tcPr>
            <w:tcW w:w="1410" w:type="dxa"/>
            <w:vMerge/>
          </w:tcPr>
          <w:p w14:paraId="1178E909" w14:textId="77777777" w:rsidR="002B1EA1" w:rsidRDefault="002B1EA1"/>
        </w:tc>
        <w:tc>
          <w:tcPr>
            <w:tcW w:w="1790" w:type="dxa"/>
            <w:vMerge/>
          </w:tcPr>
          <w:p w14:paraId="6690AF58" w14:textId="77777777" w:rsidR="002B1EA1" w:rsidRDefault="002B1EA1"/>
        </w:tc>
        <w:tc>
          <w:tcPr>
            <w:tcW w:w="1491" w:type="dxa"/>
            <w:vMerge/>
          </w:tcPr>
          <w:p w14:paraId="57A3C232" w14:textId="77777777" w:rsidR="002B1EA1" w:rsidRDefault="002B1EA1"/>
        </w:tc>
        <w:tc>
          <w:tcPr>
            <w:tcW w:w="1463" w:type="dxa"/>
            <w:vMerge/>
          </w:tcPr>
          <w:p w14:paraId="405DE256" w14:textId="77777777" w:rsidR="002B1EA1" w:rsidRDefault="002B1EA1"/>
        </w:tc>
      </w:tr>
      <w:tr w:rsidR="002B1EA1" w14:paraId="6533938B" w14:textId="77777777" w:rsidTr="3619A2D9">
        <w:tc>
          <w:tcPr>
            <w:tcW w:w="1497" w:type="dxa"/>
          </w:tcPr>
          <w:p w14:paraId="5B8D19B3" w14:textId="2BAA56C9" w:rsidR="002B1EA1" w:rsidRPr="007C5824" w:rsidRDefault="002B1EA1">
            <w:pPr>
              <w:rPr>
                <w:rFonts w:ascii="Lemon/Milk" w:hAnsi="Lemon/Milk"/>
                <w:sz w:val="20"/>
                <w:szCs w:val="20"/>
              </w:rPr>
            </w:pPr>
            <w:r w:rsidRPr="007C5824">
              <w:rPr>
                <w:rFonts w:ascii="Lemon/Milk" w:hAnsi="Lemon/Milk"/>
                <w:sz w:val="20"/>
                <w:szCs w:val="20"/>
              </w:rPr>
              <w:t>Very Infrequent</w:t>
            </w:r>
          </w:p>
        </w:tc>
        <w:tc>
          <w:tcPr>
            <w:tcW w:w="1365" w:type="dxa"/>
            <w:shd w:val="clear" w:color="auto" w:fill="92D050"/>
          </w:tcPr>
          <w:p w14:paraId="4F1FE049" w14:textId="77777777" w:rsidR="002B1EA1" w:rsidRDefault="002B1EA1"/>
        </w:tc>
        <w:tc>
          <w:tcPr>
            <w:tcW w:w="1410" w:type="dxa"/>
            <w:shd w:val="clear" w:color="auto" w:fill="92D050"/>
          </w:tcPr>
          <w:p w14:paraId="14EC3ED1" w14:textId="77777777" w:rsidR="002B1EA1" w:rsidRDefault="002B1EA1"/>
        </w:tc>
        <w:tc>
          <w:tcPr>
            <w:tcW w:w="1790" w:type="dxa"/>
            <w:shd w:val="clear" w:color="auto" w:fill="92D050"/>
          </w:tcPr>
          <w:p w14:paraId="463299CA" w14:textId="77777777" w:rsidR="002B1EA1" w:rsidRDefault="002B1EA1"/>
        </w:tc>
        <w:tc>
          <w:tcPr>
            <w:tcW w:w="1491" w:type="dxa"/>
            <w:shd w:val="clear" w:color="auto" w:fill="FFC000"/>
          </w:tcPr>
          <w:p w14:paraId="1E42A743" w14:textId="77777777" w:rsidR="002B1EA1" w:rsidRDefault="002B1EA1"/>
        </w:tc>
        <w:tc>
          <w:tcPr>
            <w:tcW w:w="1463" w:type="dxa"/>
            <w:shd w:val="clear" w:color="auto" w:fill="FFC000"/>
          </w:tcPr>
          <w:p w14:paraId="7E1776C0" w14:textId="77777777" w:rsidR="002B1EA1" w:rsidRDefault="002B1EA1"/>
        </w:tc>
      </w:tr>
      <w:tr w:rsidR="002B1EA1" w14:paraId="6E5BFE69" w14:textId="77777777" w:rsidTr="3619A2D9">
        <w:tc>
          <w:tcPr>
            <w:tcW w:w="1497" w:type="dxa"/>
          </w:tcPr>
          <w:p w14:paraId="06B015A3" w14:textId="2D2F92CD" w:rsidR="002B1EA1" w:rsidRPr="007C5824" w:rsidRDefault="002B1EA1">
            <w:pPr>
              <w:rPr>
                <w:rFonts w:ascii="Lemon/Milk" w:hAnsi="Lemon/Milk"/>
                <w:sz w:val="20"/>
                <w:szCs w:val="20"/>
              </w:rPr>
            </w:pPr>
            <w:r w:rsidRPr="007C5824">
              <w:rPr>
                <w:rFonts w:ascii="Lemon/Milk" w:hAnsi="Lemon/Milk"/>
                <w:sz w:val="20"/>
                <w:szCs w:val="20"/>
              </w:rPr>
              <w:t>Infrequent</w:t>
            </w:r>
          </w:p>
        </w:tc>
        <w:tc>
          <w:tcPr>
            <w:tcW w:w="1365" w:type="dxa"/>
            <w:shd w:val="clear" w:color="auto" w:fill="92D050"/>
          </w:tcPr>
          <w:p w14:paraId="2C3AD566" w14:textId="77777777" w:rsidR="002B1EA1" w:rsidRDefault="002B1EA1"/>
        </w:tc>
        <w:tc>
          <w:tcPr>
            <w:tcW w:w="1410" w:type="dxa"/>
            <w:shd w:val="clear" w:color="auto" w:fill="92D050"/>
          </w:tcPr>
          <w:p w14:paraId="681972F5" w14:textId="77777777" w:rsidR="002B1EA1" w:rsidRDefault="002B1EA1"/>
        </w:tc>
        <w:tc>
          <w:tcPr>
            <w:tcW w:w="1790" w:type="dxa"/>
            <w:shd w:val="clear" w:color="auto" w:fill="FFC000"/>
          </w:tcPr>
          <w:p w14:paraId="335C1718" w14:textId="77777777" w:rsidR="002B1EA1" w:rsidRDefault="002B1EA1"/>
        </w:tc>
        <w:tc>
          <w:tcPr>
            <w:tcW w:w="1491" w:type="dxa"/>
            <w:shd w:val="clear" w:color="auto" w:fill="FFC000"/>
          </w:tcPr>
          <w:p w14:paraId="6EEEB162" w14:textId="77777777" w:rsidR="002B1EA1" w:rsidRDefault="002B1EA1"/>
        </w:tc>
        <w:tc>
          <w:tcPr>
            <w:tcW w:w="1463" w:type="dxa"/>
            <w:shd w:val="clear" w:color="auto" w:fill="FF0000"/>
          </w:tcPr>
          <w:p w14:paraId="5617E93F" w14:textId="77777777" w:rsidR="002B1EA1" w:rsidRDefault="002B1EA1"/>
        </w:tc>
      </w:tr>
      <w:tr w:rsidR="002B1EA1" w14:paraId="76422867" w14:textId="77777777" w:rsidTr="3619A2D9">
        <w:tc>
          <w:tcPr>
            <w:tcW w:w="1497" w:type="dxa"/>
          </w:tcPr>
          <w:p w14:paraId="5A3BEAE5" w14:textId="79B87F15" w:rsidR="002B1EA1" w:rsidRPr="00D74472" w:rsidRDefault="00ED7C22">
            <w:pPr>
              <w:rPr>
                <w:rFonts w:ascii="Lemon/Milk" w:hAnsi="Lemon/Milk"/>
                <w:sz w:val="20"/>
                <w:szCs w:val="20"/>
              </w:rPr>
            </w:pPr>
            <w:r w:rsidRPr="00D74472">
              <w:rPr>
                <w:rFonts w:ascii="Lemon/Milk" w:hAnsi="Lemon/Milk"/>
                <w:sz w:val="20"/>
                <w:szCs w:val="20"/>
              </w:rPr>
              <w:t>Middling</w:t>
            </w:r>
          </w:p>
        </w:tc>
        <w:tc>
          <w:tcPr>
            <w:tcW w:w="1365" w:type="dxa"/>
            <w:shd w:val="clear" w:color="auto" w:fill="92D050"/>
          </w:tcPr>
          <w:p w14:paraId="47AF2AA2" w14:textId="77777777" w:rsidR="002B1EA1" w:rsidRDefault="002B1EA1"/>
        </w:tc>
        <w:tc>
          <w:tcPr>
            <w:tcW w:w="1410" w:type="dxa"/>
            <w:shd w:val="clear" w:color="auto" w:fill="FFC000"/>
          </w:tcPr>
          <w:p w14:paraId="260361B8" w14:textId="77777777" w:rsidR="002B1EA1" w:rsidRDefault="002B1EA1"/>
        </w:tc>
        <w:tc>
          <w:tcPr>
            <w:tcW w:w="1790" w:type="dxa"/>
            <w:shd w:val="clear" w:color="auto" w:fill="FFC000"/>
          </w:tcPr>
          <w:p w14:paraId="6AC893A7" w14:textId="3285D3ED" w:rsidR="002B1EA1" w:rsidRPr="00120380" w:rsidRDefault="007C0AB5">
            <w:pPr>
              <w:rPr>
                <w:rFonts w:ascii="Lemon/Milk light" w:hAnsi="Lemon/Milk light"/>
                <w:color w:val="002060"/>
              </w:rPr>
            </w:pPr>
            <w:r>
              <w:rPr>
                <w:rFonts w:ascii="Lemon/Milk light" w:hAnsi="Lemon/Milk light"/>
                <w:color w:val="002060"/>
              </w:rPr>
              <w:t>Water</w:t>
            </w:r>
          </w:p>
        </w:tc>
        <w:tc>
          <w:tcPr>
            <w:tcW w:w="1491" w:type="dxa"/>
            <w:shd w:val="clear" w:color="auto" w:fill="FFC000"/>
          </w:tcPr>
          <w:p w14:paraId="2BD55645" w14:textId="7D2C7EA0" w:rsidR="002B1EA1" w:rsidRPr="00120380" w:rsidRDefault="00ED7C22">
            <w:pPr>
              <w:rPr>
                <w:rFonts w:ascii="Lemon/Milk light" w:hAnsi="Lemon/Milk light"/>
                <w:color w:val="002060"/>
              </w:rPr>
            </w:pPr>
            <w:r w:rsidRPr="00120380">
              <w:rPr>
                <w:rFonts w:ascii="Lemon/Milk light" w:hAnsi="Lemon/Milk light"/>
                <w:color w:val="002060"/>
              </w:rPr>
              <w:t>Transport</w:t>
            </w:r>
          </w:p>
        </w:tc>
        <w:tc>
          <w:tcPr>
            <w:tcW w:w="1463" w:type="dxa"/>
            <w:shd w:val="clear" w:color="auto" w:fill="FF0000"/>
          </w:tcPr>
          <w:p w14:paraId="325B5E6C" w14:textId="3B81A945" w:rsidR="002B1EA1" w:rsidRPr="00120380" w:rsidRDefault="002B1EA1">
            <w:pPr>
              <w:rPr>
                <w:rFonts w:ascii="Lemon/Milk light" w:hAnsi="Lemon/Milk light"/>
                <w:color w:val="002060"/>
              </w:rPr>
            </w:pPr>
          </w:p>
        </w:tc>
      </w:tr>
      <w:tr w:rsidR="002B1EA1" w14:paraId="3E580BB7" w14:textId="77777777" w:rsidTr="3619A2D9">
        <w:tc>
          <w:tcPr>
            <w:tcW w:w="1497" w:type="dxa"/>
          </w:tcPr>
          <w:p w14:paraId="6314E915" w14:textId="151415B6" w:rsidR="002B1EA1" w:rsidRPr="007C5824" w:rsidRDefault="002B1EA1">
            <w:pPr>
              <w:rPr>
                <w:rFonts w:ascii="Lemon/Milk" w:hAnsi="Lemon/Milk"/>
                <w:sz w:val="20"/>
                <w:szCs w:val="20"/>
              </w:rPr>
            </w:pPr>
            <w:r w:rsidRPr="007C5824">
              <w:rPr>
                <w:rFonts w:ascii="Lemon/Milk" w:hAnsi="Lemon/Milk"/>
                <w:sz w:val="20"/>
                <w:szCs w:val="20"/>
              </w:rPr>
              <w:t>Frequent</w:t>
            </w:r>
          </w:p>
        </w:tc>
        <w:tc>
          <w:tcPr>
            <w:tcW w:w="1365" w:type="dxa"/>
            <w:shd w:val="clear" w:color="auto" w:fill="92D050"/>
          </w:tcPr>
          <w:p w14:paraId="343EB999" w14:textId="77777777" w:rsidR="002B1EA1" w:rsidRDefault="002B1EA1"/>
        </w:tc>
        <w:tc>
          <w:tcPr>
            <w:tcW w:w="1410" w:type="dxa"/>
            <w:shd w:val="clear" w:color="auto" w:fill="FFC000"/>
          </w:tcPr>
          <w:p w14:paraId="6562FCCB" w14:textId="77777777" w:rsidR="002B1EA1" w:rsidRDefault="002B1EA1"/>
        </w:tc>
        <w:tc>
          <w:tcPr>
            <w:tcW w:w="1790" w:type="dxa"/>
            <w:shd w:val="clear" w:color="auto" w:fill="FFC000"/>
          </w:tcPr>
          <w:p w14:paraId="2188EC43" w14:textId="44C619AA" w:rsidR="002B1EA1" w:rsidRPr="00120380" w:rsidRDefault="00C575CB">
            <w:pPr>
              <w:rPr>
                <w:rFonts w:ascii="Lemon/Milk light" w:hAnsi="Lemon/Milk light"/>
                <w:color w:val="002060"/>
              </w:rPr>
            </w:pPr>
            <w:r w:rsidRPr="00120380">
              <w:rPr>
                <w:rFonts w:ascii="Lemon/Milk light" w:hAnsi="Lemon/Milk light"/>
                <w:color w:val="002060"/>
              </w:rPr>
              <w:t>Procurement</w:t>
            </w:r>
          </w:p>
        </w:tc>
        <w:tc>
          <w:tcPr>
            <w:tcW w:w="1491" w:type="dxa"/>
            <w:shd w:val="clear" w:color="auto" w:fill="FF0000"/>
          </w:tcPr>
          <w:p w14:paraId="1CDC8B20" w14:textId="1594812E" w:rsidR="002B1EA1" w:rsidRPr="00120380" w:rsidRDefault="00ED7C22">
            <w:pPr>
              <w:rPr>
                <w:rFonts w:ascii="Lemon/Milk light" w:hAnsi="Lemon/Milk light"/>
                <w:color w:val="002060"/>
              </w:rPr>
            </w:pPr>
            <w:r w:rsidRPr="00120380">
              <w:rPr>
                <w:rFonts w:ascii="Lemon/Milk light" w:hAnsi="Lemon/Milk light"/>
                <w:color w:val="002060"/>
              </w:rPr>
              <w:t xml:space="preserve">Waste </w:t>
            </w:r>
          </w:p>
        </w:tc>
        <w:tc>
          <w:tcPr>
            <w:tcW w:w="1463" w:type="dxa"/>
            <w:shd w:val="clear" w:color="auto" w:fill="FF0000"/>
          </w:tcPr>
          <w:p w14:paraId="53D21AB9" w14:textId="78477E3A" w:rsidR="002B1EA1" w:rsidRPr="00120380" w:rsidRDefault="00C233A5">
            <w:pPr>
              <w:rPr>
                <w:rFonts w:ascii="Lemon/Milk light" w:hAnsi="Lemon/Milk light"/>
                <w:color w:val="002060"/>
              </w:rPr>
            </w:pPr>
            <w:r w:rsidRPr="00120380">
              <w:rPr>
                <w:rFonts w:ascii="Lemon/Milk light" w:hAnsi="Lemon/Milk light"/>
                <w:color w:val="002060"/>
              </w:rPr>
              <w:t>Utilities</w:t>
            </w:r>
          </w:p>
        </w:tc>
      </w:tr>
      <w:tr w:rsidR="002B1EA1" w14:paraId="2B2A698C" w14:textId="77777777" w:rsidTr="3619A2D9">
        <w:tc>
          <w:tcPr>
            <w:tcW w:w="1497" w:type="dxa"/>
          </w:tcPr>
          <w:p w14:paraId="52C64385" w14:textId="1C302E7D" w:rsidR="002B1EA1" w:rsidRPr="007C5824" w:rsidRDefault="002B1EA1">
            <w:pPr>
              <w:rPr>
                <w:rFonts w:ascii="Lemon/Milk" w:hAnsi="Lemon/Milk"/>
                <w:sz w:val="20"/>
                <w:szCs w:val="20"/>
              </w:rPr>
            </w:pPr>
            <w:r w:rsidRPr="007C5824">
              <w:rPr>
                <w:rFonts w:ascii="Lemon/Milk" w:hAnsi="Lemon/Milk"/>
                <w:sz w:val="20"/>
                <w:szCs w:val="20"/>
              </w:rPr>
              <w:t>Very Frequent</w:t>
            </w:r>
          </w:p>
        </w:tc>
        <w:tc>
          <w:tcPr>
            <w:tcW w:w="1365" w:type="dxa"/>
            <w:shd w:val="clear" w:color="auto" w:fill="FFC000"/>
          </w:tcPr>
          <w:p w14:paraId="1B192F91" w14:textId="77777777" w:rsidR="002B1EA1" w:rsidRDefault="002B1EA1"/>
        </w:tc>
        <w:tc>
          <w:tcPr>
            <w:tcW w:w="1410" w:type="dxa"/>
            <w:shd w:val="clear" w:color="auto" w:fill="FFC000"/>
          </w:tcPr>
          <w:p w14:paraId="304296E2" w14:textId="77777777" w:rsidR="002B1EA1" w:rsidRDefault="002B1EA1"/>
        </w:tc>
        <w:tc>
          <w:tcPr>
            <w:tcW w:w="1790" w:type="dxa"/>
            <w:shd w:val="clear" w:color="auto" w:fill="FF0000"/>
          </w:tcPr>
          <w:p w14:paraId="05A32157" w14:textId="3D08444E" w:rsidR="002B1EA1" w:rsidRPr="00120380" w:rsidRDefault="002B1EA1">
            <w:pPr>
              <w:rPr>
                <w:rFonts w:ascii="Lemon/Milk light" w:hAnsi="Lemon/Milk light"/>
                <w:color w:val="002060"/>
              </w:rPr>
            </w:pPr>
          </w:p>
        </w:tc>
        <w:tc>
          <w:tcPr>
            <w:tcW w:w="1491" w:type="dxa"/>
            <w:shd w:val="clear" w:color="auto" w:fill="FF0000"/>
          </w:tcPr>
          <w:p w14:paraId="5E42B3C9" w14:textId="5D021AB7" w:rsidR="002B1EA1" w:rsidRPr="00120380" w:rsidRDefault="002B1EA1">
            <w:pPr>
              <w:rPr>
                <w:rFonts w:ascii="Lemon/Milk light" w:hAnsi="Lemon/Milk light"/>
                <w:color w:val="002060"/>
              </w:rPr>
            </w:pPr>
          </w:p>
        </w:tc>
        <w:tc>
          <w:tcPr>
            <w:tcW w:w="1463" w:type="dxa"/>
            <w:shd w:val="clear" w:color="auto" w:fill="FF0000"/>
          </w:tcPr>
          <w:p w14:paraId="3FF8142A" w14:textId="77777777" w:rsidR="002B1EA1" w:rsidRPr="00120380" w:rsidRDefault="002B1EA1">
            <w:pPr>
              <w:rPr>
                <w:rFonts w:ascii="Lemon/Milk light" w:hAnsi="Lemon/Milk light"/>
                <w:color w:val="002060"/>
              </w:rPr>
            </w:pPr>
          </w:p>
        </w:tc>
      </w:tr>
    </w:tbl>
    <w:p w14:paraId="008D3D5E" w14:textId="77777777" w:rsidR="00AE305B" w:rsidRDefault="00AE305B"/>
    <w:p w14:paraId="776939A2" w14:textId="4D988B31" w:rsidR="002B1EA1" w:rsidRPr="00D4389E" w:rsidRDefault="002B1EA1">
      <w:p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b/>
          <w:bCs/>
          <w:sz w:val="20"/>
          <w:szCs w:val="20"/>
        </w:rPr>
        <w:t>Waste &amp; Waste Management</w:t>
      </w:r>
      <w:r w:rsidR="004E438A" w:rsidRPr="00D4389E">
        <w:rPr>
          <w:rFonts w:ascii="Century Gothic" w:hAnsi="Century Gothic"/>
          <w:sz w:val="20"/>
          <w:szCs w:val="20"/>
        </w:rPr>
        <w:t>:</w:t>
      </w:r>
    </w:p>
    <w:p w14:paraId="32A3A40D" w14:textId="18384A46" w:rsidR="004E438A" w:rsidRPr="00D4389E" w:rsidRDefault="006113CB">
      <w:p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The Union has</w:t>
      </w:r>
      <w:r w:rsidR="004E438A" w:rsidRPr="00D4389E">
        <w:rPr>
          <w:rFonts w:ascii="Century Gothic" w:hAnsi="Century Gothic"/>
          <w:sz w:val="20"/>
          <w:szCs w:val="20"/>
        </w:rPr>
        <w:t xml:space="preserve"> identified that </w:t>
      </w:r>
      <w:r w:rsidR="00FB65A0" w:rsidRPr="00D4389E">
        <w:rPr>
          <w:rFonts w:ascii="Century Gothic" w:hAnsi="Century Gothic"/>
          <w:sz w:val="20"/>
          <w:szCs w:val="20"/>
        </w:rPr>
        <w:t>waste contributes negative</w:t>
      </w:r>
      <w:r w:rsidR="002E7F3A" w:rsidRPr="00D4389E">
        <w:rPr>
          <w:rFonts w:ascii="Century Gothic" w:hAnsi="Century Gothic"/>
          <w:sz w:val="20"/>
          <w:szCs w:val="20"/>
        </w:rPr>
        <w:t xml:space="preserve">ly to our </w:t>
      </w:r>
      <w:r w:rsidR="00FB65A0" w:rsidRPr="00D4389E">
        <w:rPr>
          <w:rFonts w:ascii="Century Gothic" w:hAnsi="Century Gothic"/>
          <w:sz w:val="20"/>
          <w:szCs w:val="20"/>
        </w:rPr>
        <w:t xml:space="preserve">environmental impact. We define </w:t>
      </w:r>
      <w:r w:rsidR="00262DE4" w:rsidRPr="00D4389E">
        <w:rPr>
          <w:rFonts w:ascii="Century Gothic" w:hAnsi="Century Gothic"/>
          <w:sz w:val="20"/>
          <w:szCs w:val="20"/>
        </w:rPr>
        <w:t xml:space="preserve">waste to include the below streams. </w:t>
      </w:r>
      <w:r w:rsidR="00007C33" w:rsidRPr="00D4389E">
        <w:rPr>
          <w:rFonts w:ascii="Century Gothic" w:hAnsi="Century Gothic"/>
          <w:sz w:val="20"/>
          <w:szCs w:val="20"/>
        </w:rPr>
        <w:t xml:space="preserve">We are governed by </w:t>
      </w:r>
      <w:r w:rsidR="00262DE4" w:rsidRPr="00D4389E">
        <w:rPr>
          <w:rFonts w:ascii="Century Gothic" w:hAnsi="Century Gothic"/>
          <w:sz w:val="20"/>
          <w:szCs w:val="20"/>
        </w:rPr>
        <w:t xml:space="preserve">waste contracts held by the </w:t>
      </w:r>
      <w:r w:rsidR="00007C33" w:rsidRPr="00D4389E">
        <w:rPr>
          <w:rFonts w:ascii="Century Gothic" w:hAnsi="Century Gothic"/>
          <w:sz w:val="20"/>
          <w:szCs w:val="20"/>
        </w:rPr>
        <w:t>University,</w:t>
      </w:r>
      <w:r w:rsidR="00262DE4" w:rsidRPr="00D4389E">
        <w:rPr>
          <w:rFonts w:ascii="Century Gothic" w:hAnsi="Century Gothic"/>
          <w:sz w:val="20"/>
          <w:szCs w:val="20"/>
        </w:rPr>
        <w:t xml:space="preserve"> </w:t>
      </w:r>
      <w:r w:rsidR="00007C33" w:rsidRPr="00D4389E">
        <w:rPr>
          <w:rFonts w:ascii="Century Gothic" w:hAnsi="Century Gothic"/>
          <w:sz w:val="20"/>
          <w:szCs w:val="20"/>
        </w:rPr>
        <w:t xml:space="preserve">and we have defined that strong recycling, reclamation and diversion from landfill form part of our requirements as a tenant. </w:t>
      </w:r>
      <w:r w:rsidR="00482AF0" w:rsidRPr="00D4389E">
        <w:rPr>
          <w:rFonts w:ascii="Century Gothic" w:hAnsi="Century Gothic"/>
          <w:sz w:val="20"/>
          <w:szCs w:val="20"/>
        </w:rPr>
        <w:t>Improper waste management can lead to landfill contributions, resource depletion, and potential pollution of land and water bodies.</w:t>
      </w:r>
    </w:p>
    <w:p w14:paraId="2115DC0E" w14:textId="490AB7C2" w:rsidR="00AE305B" w:rsidRPr="00D4389E" w:rsidRDefault="00AE305B" w:rsidP="00AE305B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Food</w:t>
      </w:r>
      <w:r w:rsidR="00007C33" w:rsidRPr="00D4389E">
        <w:rPr>
          <w:rFonts w:ascii="Century Gothic" w:hAnsi="Century Gothic"/>
          <w:sz w:val="20"/>
          <w:szCs w:val="20"/>
        </w:rPr>
        <w:t xml:space="preserve"> waste</w:t>
      </w:r>
      <w:r w:rsidR="006E7A23" w:rsidRPr="00D4389E">
        <w:rPr>
          <w:rFonts w:ascii="Century Gothic" w:hAnsi="Century Gothic"/>
          <w:sz w:val="20"/>
          <w:szCs w:val="20"/>
        </w:rPr>
        <w:t>,</w:t>
      </w:r>
      <w:r w:rsidR="00007C33" w:rsidRPr="00D4389E">
        <w:rPr>
          <w:rFonts w:ascii="Century Gothic" w:hAnsi="Century Gothic"/>
          <w:sz w:val="20"/>
          <w:szCs w:val="20"/>
        </w:rPr>
        <w:t xml:space="preserve"> as generated via our coffee bar, shops and </w:t>
      </w:r>
      <w:r w:rsidR="006E7A23" w:rsidRPr="00D4389E">
        <w:rPr>
          <w:rFonts w:ascii="Century Gothic" w:hAnsi="Century Gothic"/>
          <w:sz w:val="20"/>
          <w:szCs w:val="20"/>
        </w:rPr>
        <w:t xml:space="preserve">catered </w:t>
      </w:r>
      <w:r w:rsidR="00AD4E7B" w:rsidRPr="00D4389E">
        <w:rPr>
          <w:rFonts w:ascii="Century Gothic" w:hAnsi="Century Gothic"/>
          <w:sz w:val="20"/>
          <w:szCs w:val="20"/>
        </w:rPr>
        <w:t>events</w:t>
      </w:r>
    </w:p>
    <w:p w14:paraId="750F6ADD" w14:textId="3B75DFBF" w:rsidR="00AE305B" w:rsidRPr="00D4389E" w:rsidRDefault="006E7A23" w:rsidP="00AE305B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Recyclable materials</w:t>
      </w:r>
    </w:p>
    <w:p w14:paraId="30C2E1A7" w14:textId="1DB7D518" w:rsidR="004A15E7" w:rsidRPr="00D4389E" w:rsidRDefault="004A15E7" w:rsidP="00AE305B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Solid waste from daily operations</w:t>
      </w:r>
    </w:p>
    <w:p w14:paraId="540A46E5" w14:textId="2C836D74" w:rsidR="004A15E7" w:rsidRPr="00D4389E" w:rsidRDefault="004A15E7" w:rsidP="00AE305B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 xml:space="preserve">Paper waste from administrative </w:t>
      </w:r>
      <w:r w:rsidR="005A7DB3" w:rsidRPr="00D4389E">
        <w:rPr>
          <w:rFonts w:ascii="Century Gothic" w:hAnsi="Century Gothic"/>
          <w:sz w:val="20"/>
          <w:szCs w:val="20"/>
        </w:rPr>
        <w:t>processes, publicity and other activities</w:t>
      </w:r>
    </w:p>
    <w:p w14:paraId="55C6E505" w14:textId="1B5BD7C7" w:rsidR="005E1D38" w:rsidRPr="00D4389E" w:rsidRDefault="005E1D38" w:rsidP="00AE305B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WEEE waste</w:t>
      </w:r>
    </w:p>
    <w:p w14:paraId="2B665613" w14:textId="7E0E40E8" w:rsidR="002B1EA1" w:rsidRPr="00D4389E" w:rsidRDefault="00AE305B">
      <w:pPr>
        <w:rPr>
          <w:rFonts w:ascii="Century Gothic" w:hAnsi="Century Gothic"/>
          <w:b/>
          <w:bCs/>
          <w:sz w:val="20"/>
          <w:szCs w:val="20"/>
        </w:rPr>
      </w:pPr>
      <w:r w:rsidRPr="00D4389E">
        <w:rPr>
          <w:rFonts w:ascii="Century Gothic" w:hAnsi="Century Gothic"/>
          <w:b/>
          <w:bCs/>
          <w:sz w:val="20"/>
          <w:szCs w:val="20"/>
        </w:rPr>
        <w:t>Utilities (Gas, Electricity)</w:t>
      </w:r>
      <w:r w:rsidR="004B15B3" w:rsidRPr="00D4389E">
        <w:rPr>
          <w:rFonts w:ascii="Century Gothic" w:hAnsi="Century Gothic"/>
          <w:b/>
          <w:bCs/>
          <w:sz w:val="20"/>
          <w:szCs w:val="20"/>
        </w:rPr>
        <w:t>:</w:t>
      </w:r>
    </w:p>
    <w:p w14:paraId="4CB65A93" w14:textId="03945699" w:rsidR="004B15B3" w:rsidRPr="00D4389E" w:rsidRDefault="006113CB">
      <w:p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The Union has</w:t>
      </w:r>
      <w:r w:rsidR="004B15B3" w:rsidRPr="00D4389E">
        <w:rPr>
          <w:rFonts w:ascii="Century Gothic" w:hAnsi="Century Gothic"/>
          <w:sz w:val="20"/>
          <w:szCs w:val="20"/>
        </w:rPr>
        <w:t xml:space="preserve"> identified that </w:t>
      </w:r>
      <w:r w:rsidR="00F8201F" w:rsidRPr="00D4389E">
        <w:rPr>
          <w:rFonts w:ascii="Century Gothic" w:hAnsi="Century Gothic"/>
          <w:sz w:val="20"/>
          <w:szCs w:val="20"/>
        </w:rPr>
        <w:t xml:space="preserve">use of utilities through energy consumption </w:t>
      </w:r>
      <w:r w:rsidR="002E7F3A" w:rsidRPr="00D4389E">
        <w:rPr>
          <w:rFonts w:ascii="Century Gothic" w:hAnsi="Century Gothic"/>
          <w:sz w:val="20"/>
          <w:szCs w:val="20"/>
        </w:rPr>
        <w:t xml:space="preserve">contributes negatively to our environmental impact. We define utilities to include the below streams. We are governed by </w:t>
      </w:r>
      <w:r w:rsidR="00B72F49" w:rsidRPr="00D4389E">
        <w:rPr>
          <w:rFonts w:ascii="Century Gothic" w:hAnsi="Century Gothic"/>
          <w:sz w:val="20"/>
          <w:szCs w:val="20"/>
        </w:rPr>
        <w:t>utilities</w:t>
      </w:r>
      <w:r w:rsidR="002E7F3A" w:rsidRPr="00D4389E">
        <w:rPr>
          <w:rFonts w:ascii="Century Gothic" w:hAnsi="Century Gothic"/>
          <w:sz w:val="20"/>
          <w:szCs w:val="20"/>
        </w:rPr>
        <w:t xml:space="preserve"> contracts held by the University, and we have defined </w:t>
      </w:r>
      <w:r w:rsidR="000B7188" w:rsidRPr="00D4389E">
        <w:rPr>
          <w:rFonts w:ascii="Century Gothic" w:hAnsi="Century Gothic"/>
          <w:sz w:val="20"/>
          <w:szCs w:val="20"/>
        </w:rPr>
        <w:t>that green a tariff</w:t>
      </w:r>
      <w:r w:rsidR="002E7F3A" w:rsidRPr="00D4389E">
        <w:rPr>
          <w:rFonts w:ascii="Century Gothic" w:hAnsi="Century Gothic"/>
          <w:sz w:val="20"/>
          <w:szCs w:val="20"/>
        </w:rPr>
        <w:t xml:space="preserve"> form part of our requirements as a tenant.</w:t>
      </w:r>
      <w:r w:rsidR="00B72F49" w:rsidRPr="00D4389E">
        <w:rPr>
          <w:rFonts w:ascii="Century Gothic" w:hAnsi="Century Gothic"/>
          <w:sz w:val="20"/>
          <w:szCs w:val="20"/>
        </w:rPr>
        <w:t xml:space="preserve"> As a tenant the Student U</w:t>
      </w:r>
      <w:r w:rsidR="00A130B1" w:rsidRPr="00D4389E">
        <w:rPr>
          <w:rFonts w:ascii="Century Gothic" w:hAnsi="Century Gothic"/>
          <w:sz w:val="20"/>
          <w:szCs w:val="20"/>
        </w:rPr>
        <w:t>ni</w:t>
      </w:r>
      <w:r w:rsidR="00B72F49" w:rsidRPr="00D4389E">
        <w:rPr>
          <w:rFonts w:ascii="Century Gothic" w:hAnsi="Century Gothic"/>
          <w:sz w:val="20"/>
          <w:szCs w:val="20"/>
        </w:rPr>
        <w:t>on</w:t>
      </w:r>
      <w:r w:rsidR="00846353" w:rsidRPr="00D4389E">
        <w:rPr>
          <w:rFonts w:ascii="Century Gothic" w:hAnsi="Century Gothic"/>
          <w:sz w:val="20"/>
          <w:szCs w:val="20"/>
        </w:rPr>
        <w:t xml:space="preserve"> shou</w:t>
      </w:r>
      <w:r w:rsidR="005D54A4" w:rsidRPr="00D4389E">
        <w:rPr>
          <w:rFonts w:ascii="Century Gothic" w:hAnsi="Century Gothic"/>
          <w:sz w:val="20"/>
          <w:szCs w:val="20"/>
        </w:rPr>
        <w:t xml:space="preserve">ld receive detailed monthly analysis of utility usage as </w:t>
      </w:r>
      <w:r w:rsidR="00910A73" w:rsidRPr="00D4389E">
        <w:rPr>
          <w:rFonts w:ascii="Century Gothic" w:hAnsi="Century Gothic"/>
          <w:sz w:val="20"/>
          <w:szCs w:val="20"/>
        </w:rPr>
        <w:t>these forms</w:t>
      </w:r>
      <w:r w:rsidR="005D54A4" w:rsidRPr="00D4389E">
        <w:rPr>
          <w:rFonts w:ascii="Century Gothic" w:hAnsi="Century Gothic"/>
          <w:sz w:val="20"/>
          <w:szCs w:val="20"/>
        </w:rPr>
        <w:t xml:space="preserve"> the basis of our charging. </w:t>
      </w:r>
      <w:r w:rsidR="00910A73" w:rsidRPr="00D4389E">
        <w:rPr>
          <w:rFonts w:ascii="Century Gothic" w:hAnsi="Century Gothic"/>
          <w:sz w:val="20"/>
          <w:szCs w:val="20"/>
        </w:rPr>
        <w:t xml:space="preserve">However, this has proven to be sporadic and impacts our </w:t>
      </w:r>
      <w:r w:rsidR="00E91D20" w:rsidRPr="00D4389E">
        <w:rPr>
          <w:rFonts w:ascii="Century Gothic" w:hAnsi="Century Gothic"/>
          <w:sz w:val="20"/>
          <w:szCs w:val="20"/>
        </w:rPr>
        <w:t>ability to track and respond to actual usage</w:t>
      </w:r>
      <w:r w:rsidR="00DF141D" w:rsidRPr="00D4389E">
        <w:rPr>
          <w:rFonts w:ascii="Century Gothic" w:hAnsi="Century Gothic"/>
          <w:sz w:val="20"/>
          <w:szCs w:val="20"/>
        </w:rPr>
        <w:t>.</w:t>
      </w:r>
      <w:r w:rsidR="00717EA8" w:rsidRPr="00D4389E">
        <w:rPr>
          <w:rFonts w:ascii="Century Gothic" w:hAnsi="Century Gothic"/>
          <w:sz w:val="20"/>
          <w:szCs w:val="20"/>
        </w:rPr>
        <w:t xml:space="preserve"> </w:t>
      </w:r>
      <w:r w:rsidR="00717EA8" w:rsidRPr="00D4389E">
        <w:rPr>
          <w:rFonts w:ascii="Century Gothic" w:hAnsi="Century Gothic" w:cs="Segoe UI"/>
          <w:color w:val="0D0D0D"/>
          <w:sz w:val="20"/>
          <w:szCs w:val="20"/>
          <w:shd w:val="clear" w:color="auto" w:fill="FFFFFF"/>
        </w:rPr>
        <w:lastRenderedPageBreak/>
        <w:t>The energy consumption associated with these facilities contributes significantly to greenhouse gas emissions and energy costs.</w:t>
      </w:r>
    </w:p>
    <w:p w14:paraId="682E01ED" w14:textId="2E1DF8D2" w:rsidR="00DF141D" w:rsidRPr="00D4389E" w:rsidRDefault="00DF141D" w:rsidP="00DF141D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Lighting and heating in buildings</w:t>
      </w:r>
    </w:p>
    <w:p w14:paraId="6C8CBEEF" w14:textId="7676C11B" w:rsidR="00DF141D" w:rsidRPr="00D4389E" w:rsidRDefault="00CD669F" w:rsidP="00DF141D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 xml:space="preserve">Operation of electrical equipment and </w:t>
      </w:r>
      <w:r w:rsidR="00456FFA" w:rsidRPr="00D4389E">
        <w:rPr>
          <w:rFonts w:ascii="Century Gothic" w:hAnsi="Century Gothic"/>
          <w:sz w:val="20"/>
          <w:szCs w:val="20"/>
        </w:rPr>
        <w:t>appliances</w:t>
      </w:r>
    </w:p>
    <w:p w14:paraId="275F42CD" w14:textId="36A535C7" w:rsidR="00456FFA" w:rsidRPr="00D4389E" w:rsidRDefault="00456FFA" w:rsidP="00DF141D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 xml:space="preserve">Energy consumption during events and activities/Mechanical </w:t>
      </w:r>
      <w:r w:rsidR="007911AC" w:rsidRPr="00D4389E">
        <w:rPr>
          <w:rFonts w:ascii="Century Gothic" w:hAnsi="Century Gothic"/>
          <w:sz w:val="20"/>
          <w:szCs w:val="20"/>
        </w:rPr>
        <w:t>ventilation</w:t>
      </w:r>
    </w:p>
    <w:p w14:paraId="3F5C31F9" w14:textId="320DB48C" w:rsidR="0024452E" w:rsidRPr="00D4389E" w:rsidRDefault="0024452E">
      <w:pPr>
        <w:rPr>
          <w:rFonts w:ascii="Century Gothic" w:hAnsi="Century Gothic"/>
          <w:b/>
          <w:bCs/>
          <w:sz w:val="20"/>
          <w:szCs w:val="20"/>
        </w:rPr>
      </w:pPr>
      <w:r w:rsidRPr="00D4389E">
        <w:rPr>
          <w:rFonts w:ascii="Century Gothic" w:hAnsi="Century Gothic"/>
          <w:b/>
          <w:bCs/>
          <w:sz w:val="20"/>
          <w:szCs w:val="20"/>
        </w:rPr>
        <w:t>Water usage:</w:t>
      </w:r>
    </w:p>
    <w:p w14:paraId="1720DDCF" w14:textId="7F105376" w:rsidR="0024452E" w:rsidRPr="00D4389E" w:rsidRDefault="0049702A" w:rsidP="0024452E">
      <w:p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The Union has</w:t>
      </w:r>
      <w:r w:rsidR="0024452E" w:rsidRPr="00D4389E">
        <w:rPr>
          <w:rFonts w:ascii="Century Gothic" w:hAnsi="Century Gothic"/>
          <w:sz w:val="20"/>
          <w:szCs w:val="20"/>
        </w:rPr>
        <w:t xml:space="preserve"> identified that use of water</w:t>
      </w:r>
      <w:r w:rsidR="0071697E" w:rsidRPr="00D4389E">
        <w:rPr>
          <w:rFonts w:ascii="Century Gothic" w:hAnsi="Century Gothic"/>
          <w:sz w:val="20"/>
          <w:szCs w:val="20"/>
        </w:rPr>
        <w:t xml:space="preserve"> for domestic and business use</w:t>
      </w:r>
      <w:r w:rsidR="0024452E" w:rsidRPr="00D4389E">
        <w:rPr>
          <w:rFonts w:ascii="Century Gothic" w:hAnsi="Century Gothic"/>
          <w:sz w:val="20"/>
          <w:szCs w:val="20"/>
        </w:rPr>
        <w:t xml:space="preserve"> contributes negatively to our environmental impact. We define </w:t>
      </w:r>
      <w:r w:rsidR="0071697E" w:rsidRPr="00D4389E">
        <w:rPr>
          <w:rFonts w:ascii="Century Gothic" w:hAnsi="Century Gothic"/>
          <w:sz w:val="20"/>
          <w:szCs w:val="20"/>
        </w:rPr>
        <w:t>water usage</w:t>
      </w:r>
      <w:r w:rsidR="0024452E" w:rsidRPr="00D4389E">
        <w:rPr>
          <w:rFonts w:ascii="Century Gothic" w:hAnsi="Century Gothic"/>
          <w:sz w:val="20"/>
          <w:szCs w:val="20"/>
        </w:rPr>
        <w:t xml:space="preserve"> to include the below streams. We are governed by </w:t>
      </w:r>
      <w:r w:rsidR="0071697E" w:rsidRPr="00D4389E">
        <w:rPr>
          <w:rFonts w:ascii="Century Gothic" w:hAnsi="Century Gothic"/>
          <w:sz w:val="20"/>
          <w:szCs w:val="20"/>
        </w:rPr>
        <w:t>water</w:t>
      </w:r>
      <w:r w:rsidR="0024452E" w:rsidRPr="00D4389E">
        <w:rPr>
          <w:rFonts w:ascii="Century Gothic" w:hAnsi="Century Gothic"/>
          <w:sz w:val="20"/>
          <w:szCs w:val="20"/>
        </w:rPr>
        <w:t xml:space="preserve"> contracts held by the University</w:t>
      </w:r>
      <w:r w:rsidR="0071697E" w:rsidRPr="00D4389E">
        <w:rPr>
          <w:rFonts w:ascii="Century Gothic" w:hAnsi="Century Gothic"/>
          <w:sz w:val="20"/>
          <w:szCs w:val="20"/>
        </w:rPr>
        <w:t xml:space="preserve">. </w:t>
      </w:r>
      <w:r w:rsidR="0024452E" w:rsidRPr="00D4389E">
        <w:rPr>
          <w:rFonts w:ascii="Century Gothic" w:hAnsi="Century Gothic"/>
          <w:sz w:val="20"/>
          <w:szCs w:val="20"/>
        </w:rPr>
        <w:t xml:space="preserve">As a tenant the Student Union should receive detailed monthly analysis of </w:t>
      </w:r>
      <w:r w:rsidR="0071697E" w:rsidRPr="00D4389E">
        <w:rPr>
          <w:rFonts w:ascii="Century Gothic" w:hAnsi="Century Gothic"/>
          <w:sz w:val="20"/>
          <w:szCs w:val="20"/>
        </w:rPr>
        <w:t xml:space="preserve">water </w:t>
      </w:r>
      <w:r w:rsidR="0024452E" w:rsidRPr="00D4389E">
        <w:rPr>
          <w:rFonts w:ascii="Century Gothic" w:hAnsi="Century Gothic"/>
          <w:sz w:val="20"/>
          <w:szCs w:val="20"/>
        </w:rPr>
        <w:t>usage as these forms the basis of our charging. However, this has proven to be sporadic and impacts our ability to track and respond to actual usage.</w:t>
      </w:r>
    </w:p>
    <w:p w14:paraId="6D90CBF4" w14:textId="77777777" w:rsidR="0071697E" w:rsidRPr="00D4389E" w:rsidRDefault="0071697E" w:rsidP="0071697E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Water consumption in buildings for sanitation</w:t>
      </w:r>
    </w:p>
    <w:p w14:paraId="66ED45E0" w14:textId="77777777" w:rsidR="0071697E" w:rsidRPr="00D4389E" w:rsidRDefault="0071697E" w:rsidP="0071697E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Water consumption in buildings for laundry supply</w:t>
      </w:r>
    </w:p>
    <w:p w14:paraId="379E947E" w14:textId="4AAEB7B3" w:rsidR="0071697E" w:rsidRPr="00D4389E" w:rsidRDefault="0071697E" w:rsidP="0071697E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Water consumption through delivery of bars and events</w:t>
      </w:r>
      <w:r w:rsidR="00C20564" w:rsidRPr="00D4389E">
        <w:rPr>
          <w:rFonts w:ascii="Century Gothic" w:hAnsi="Century Gothic"/>
          <w:sz w:val="20"/>
          <w:szCs w:val="20"/>
        </w:rPr>
        <w:t xml:space="preserve"> provision</w:t>
      </w:r>
    </w:p>
    <w:p w14:paraId="32847D38" w14:textId="4F16A892" w:rsidR="0024452E" w:rsidRPr="005E1726" w:rsidRDefault="0071697E" w:rsidP="005E1726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E1726">
        <w:rPr>
          <w:rFonts w:ascii="Century Gothic" w:hAnsi="Century Gothic"/>
          <w:sz w:val="20"/>
          <w:szCs w:val="20"/>
        </w:rPr>
        <w:t xml:space="preserve">Water consumption through office </w:t>
      </w:r>
      <w:r w:rsidR="00C20564" w:rsidRPr="005E1726">
        <w:rPr>
          <w:rFonts w:ascii="Century Gothic" w:hAnsi="Century Gothic"/>
          <w:sz w:val="20"/>
          <w:szCs w:val="20"/>
        </w:rPr>
        <w:t>and staff needs</w:t>
      </w:r>
    </w:p>
    <w:p w14:paraId="55188AD9" w14:textId="151735D5" w:rsidR="00AE305B" w:rsidRPr="00D4389E" w:rsidRDefault="00AE305B">
      <w:pPr>
        <w:rPr>
          <w:rFonts w:ascii="Century Gothic" w:hAnsi="Century Gothic"/>
          <w:b/>
          <w:bCs/>
          <w:sz w:val="20"/>
          <w:szCs w:val="20"/>
        </w:rPr>
      </w:pPr>
      <w:r w:rsidRPr="00D4389E">
        <w:rPr>
          <w:rFonts w:ascii="Century Gothic" w:hAnsi="Century Gothic"/>
          <w:b/>
          <w:bCs/>
          <w:sz w:val="20"/>
          <w:szCs w:val="20"/>
        </w:rPr>
        <w:t>Transport</w:t>
      </w:r>
      <w:r w:rsidR="00DA75D7" w:rsidRPr="00D4389E">
        <w:rPr>
          <w:rFonts w:ascii="Century Gothic" w:hAnsi="Century Gothic"/>
          <w:b/>
          <w:bCs/>
          <w:sz w:val="20"/>
          <w:szCs w:val="20"/>
        </w:rPr>
        <w:t>:</w:t>
      </w:r>
    </w:p>
    <w:p w14:paraId="477DC0CA" w14:textId="7FC569D8" w:rsidR="00980F42" w:rsidRPr="00D4389E" w:rsidRDefault="00980F42">
      <w:p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 xml:space="preserve">The Union has identified that use of </w:t>
      </w:r>
      <w:r w:rsidR="00B24D5D" w:rsidRPr="00D4389E">
        <w:rPr>
          <w:rFonts w:ascii="Century Gothic" w:hAnsi="Century Gothic"/>
          <w:sz w:val="20"/>
          <w:szCs w:val="20"/>
        </w:rPr>
        <w:t>vehicles</w:t>
      </w:r>
      <w:r w:rsidRPr="00D4389E">
        <w:rPr>
          <w:rFonts w:ascii="Century Gothic" w:hAnsi="Century Gothic"/>
          <w:sz w:val="20"/>
          <w:szCs w:val="20"/>
        </w:rPr>
        <w:t xml:space="preserve"> for </w:t>
      </w:r>
      <w:r w:rsidR="00C4738D" w:rsidRPr="00D4389E">
        <w:rPr>
          <w:rFonts w:ascii="Century Gothic" w:hAnsi="Century Gothic"/>
          <w:sz w:val="20"/>
          <w:szCs w:val="20"/>
        </w:rPr>
        <w:t xml:space="preserve">commuting, event attendance, sports fixture attendance and </w:t>
      </w:r>
      <w:r w:rsidR="00B24D5D" w:rsidRPr="00D4389E">
        <w:rPr>
          <w:rFonts w:ascii="Century Gothic" w:hAnsi="Century Gothic"/>
          <w:sz w:val="20"/>
          <w:szCs w:val="20"/>
        </w:rPr>
        <w:t xml:space="preserve">transportation of goods and materials </w:t>
      </w:r>
      <w:r w:rsidR="006B426B" w:rsidRPr="00D4389E">
        <w:rPr>
          <w:rFonts w:ascii="Century Gothic" w:hAnsi="Century Gothic"/>
          <w:sz w:val="20"/>
          <w:szCs w:val="20"/>
        </w:rPr>
        <w:t xml:space="preserve">to support Union activities, </w:t>
      </w:r>
      <w:r w:rsidRPr="00D4389E">
        <w:rPr>
          <w:rFonts w:ascii="Century Gothic" w:hAnsi="Century Gothic"/>
          <w:sz w:val="20"/>
          <w:szCs w:val="20"/>
        </w:rPr>
        <w:t xml:space="preserve">contributes negatively to our environmental impact. We define water usage to include the below streams. </w:t>
      </w:r>
      <w:r w:rsidR="006F5D8E" w:rsidRPr="00D4389E">
        <w:rPr>
          <w:rFonts w:ascii="Century Gothic" w:hAnsi="Century Gothic"/>
          <w:sz w:val="20"/>
          <w:szCs w:val="20"/>
        </w:rPr>
        <w:t xml:space="preserve">Alongside </w:t>
      </w:r>
      <w:r w:rsidR="00BA47A3" w:rsidRPr="00D4389E">
        <w:rPr>
          <w:rFonts w:ascii="Century Gothic" w:hAnsi="Century Gothic"/>
          <w:sz w:val="20"/>
          <w:szCs w:val="20"/>
        </w:rPr>
        <w:t xml:space="preserve">staff and </w:t>
      </w:r>
      <w:r w:rsidR="006F5D8E" w:rsidRPr="00D4389E">
        <w:rPr>
          <w:rFonts w:ascii="Century Gothic" w:hAnsi="Century Gothic"/>
          <w:sz w:val="20"/>
          <w:szCs w:val="20"/>
        </w:rPr>
        <w:t>member use of own ve</w:t>
      </w:r>
      <w:r w:rsidR="00BA47A3" w:rsidRPr="00D4389E">
        <w:rPr>
          <w:rFonts w:ascii="Century Gothic" w:hAnsi="Century Gothic"/>
          <w:sz w:val="20"/>
          <w:szCs w:val="20"/>
        </w:rPr>
        <w:t xml:space="preserve">hicles, the Union </w:t>
      </w:r>
      <w:r w:rsidR="006F5D8E" w:rsidRPr="00D4389E">
        <w:rPr>
          <w:rFonts w:ascii="Century Gothic" w:hAnsi="Century Gothic"/>
          <w:sz w:val="20"/>
          <w:szCs w:val="20"/>
        </w:rPr>
        <w:t>operate two vehicles (a 16 seat Minibus and 7 seater MPV)</w:t>
      </w:r>
      <w:r w:rsidR="00BA47A3" w:rsidRPr="00D4389E">
        <w:rPr>
          <w:rFonts w:ascii="Century Gothic" w:hAnsi="Century Gothic"/>
          <w:sz w:val="20"/>
          <w:szCs w:val="20"/>
        </w:rPr>
        <w:t>.</w:t>
      </w:r>
      <w:r w:rsidR="006F5D8E" w:rsidRPr="00D4389E">
        <w:rPr>
          <w:rFonts w:ascii="Century Gothic" w:hAnsi="Century Gothic"/>
          <w:sz w:val="20"/>
          <w:szCs w:val="20"/>
        </w:rPr>
        <w:t xml:space="preserve"> </w:t>
      </w:r>
      <w:r w:rsidR="00596168" w:rsidRPr="00D4389E">
        <w:rPr>
          <w:rFonts w:ascii="Century Gothic" w:hAnsi="Century Gothic"/>
          <w:sz w:val="20"/>
          <w:szCs w:val="20"/>
        </w:rPr>
        <w:t xml:space="preserve">Use of transportation </w:t>
      </w:r>
      <w:r w:rsidR="006F5D8E" w:rsidRPr="00D4389E">
        <w:rPr>
          <w:rFonts w:ascii="Century Gothic" w:hAnsi="Century Gothic"/>
          <w:sz w:val="20"/>
          <w:szCs w:val="20"/>
        </w:rPr>
        <w:t xml:space="preserve">is a </w:t>
      </w:r>
      <w:r w:rsidR="00596168" w:rsidRPr="00D4389E">
        <w:rPr>
          <w:rFonts w:ascii="Century Gothic" w:hAnsi="Century Gothic"/>
          <w:sz w:val="20"/>
          <w:szCs w:val="20"/>
        </w:rPr>
        <w:t>contributing</w:t>
      </w:r>
      <w:r w:rsidR="006F5D8E" w:rsidRPr="00D4389E">
        <w:rPr>
          <w:rFonts w:ascii="Century Gothic" w:hAnsi="Century Gothic"/>
          <w:sz w:val="20"/>
          <w:szCs w:val="20"/>
        </w:rPr>
        <w:t xml:space="preserve"> factor to </w:t>
      </w:r>
      <w:r w:rsidR="00596168" w:rsidRPr="00D4389E">
        <w:rPr>
          <w:rFonts w:ascii="Century Gothic" w:hAnsi="Century Gothic"/>
          <w:sz w:val="20"/>
          <w:szCs w:val="20"/>
        </w:rPr>
        <w:t>carbon emissions, traffic congestion, and air pollution.</w:t>
      </w:r>
    </w:p>
    <w:p w14:paraId="1CD27DFA" w14:textId="1BA1272B" w:rsidR="00BA47A3" w:rsidRPr="00D4389E" w:rsidRDefault="00BA47A3" w:rsidP="00BA47A3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Travel for business, staff and officers</w:t>
      </w:r>
    </w:p>
    <w:p w14:paraId="0C45E739" w14:textId="36F892A0" w:rsidR="00BA47A3" w:rsidRPr="00D4389E" w:rsidRDefault="00BA47A3" w:rsidP="00BA47A3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Travel for activities, staff and members</w:t>
      </w:r>
    </w:p>
    <w:p w14:paraId="0982E249" w14:textId="7F634320" w:rsidR="00BA47A3" w:rsidRPr="00D4389E" w:rsidRDefault="00BA47A3" w:rsidP="00BA47A3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Delivery of goods</w:t>
      </w:r>
      <w:r w:rsidR="00E87511" w:rsidRPr="00D4389E">
        <w:rPr>
          <w:rFonts w:ascii="Century Gothic" w:hAnsi="Century Gothic"/>
          <w:sz w:val="20"/>
          <w:szCs w:val="20"/>
        </w:rPr>
        <w:t>, commercial operations</w:t>
      </w:r>
    </w:p>
    <w:p w14:paraId="5E7C98BA" w14:textId="6ADFDB7A" w:rsidR="00E87511" w:rsidRPr="00D4389E" w:rsidRDefault="00E87511" w:rsidP="00BA47A3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Delivery of goods, membership and administration</w:t>
      </w:r>
    </w:p>
    <w:p w14:paraId="27F78890" w14:textId="633EAED3" w:rsidR="00AE305B" w:rsidRPr="00D4389E" w:rsidRDefault="00AE305B">
      <w:pPr>
        <w:rPr>
          <w:rFonts w:ascii="Century Gothic" w:hAnsi="Century Gothic"/>
          <w:b/>
          <w:bCs/>
          <w:sz w:val="20"/>
          <w:szCs w:val="20"/>
        </w:rPr>
      </w:pPr>
      <w:r w:rsidRPr="00D4389E">
        <w:rPr>
          <w:rFonts w:ascii="Century Gothic" w:hAnsi="Century Gothic"/>
          <w:b/>
          <w:bCs/>
          <w:sz w:val="20"/>
          <w:szCs w:val="20"/>
        </w:rPr>
        <w:t>Procurement</w:t>
      </w:r>
      <w:r w:rsidR="005A40F3" w:rsidRPr="00D4389E">
        <w:rPr>
          <w:rFonts w:ascii="Century Gothic" w:hAnsi="Century Gothic"/>
          <w:b/>
          <w:bCs/>
          <w:sz w:val="20"/>
          <w:szCs w:val="20"/>
        </w:rPr>
        <w:t>:</w:t>
      </w:r>
    </w:p>
    <w:p w14:paraId="4D5194B6" w14:textId="3AE381B5" w:rsidR="00577DC6" w:rsidRPr="00D4389E" w:rsidRDefault="005A40F3">
      <w:p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 xml:space="preserve">The Union has identified that the purchasing and supply of goods and services, contributes negatively to our environmental impact. We define </w:t>
      </w:r>
      <w:r w:rsidR="001D3982" w:rsidRPr="00D4389E">
        <w:rPr>
          <w:rFonts w:ascii="Century Gothic" w:hAnsi="Century Gothic"/>
          <w:sz w:val="20"/>
          <w:szCs w:val="20"/>
        </w:rPr>
        <w:t>procurement</w:t>
      </w:r>
      <w:r w:rsidRPr="00D4389E">
        <w:rPr>
          <w:rFonts w:ascii="Century Gothic" w:hAnsi="Century Gothic"/>
          <w:sz w:val="20"/>
          <w:szCs w:val="20"/>
        </w:rPr>
        <w:t xml:space="preserve"> below </w:t>
      </w:r>
      <w:r w:rsidR="001D3982" w:rsidRPr="00D4389E">
        <w:rPr>
          <w:rFonts w:ascii="Century Gothic" w:hAnsi="Century Gothic"/>
          <w:sz w:val="20"/>
          <w:szCs w:val="20"/>
        </w:rPr>
        <w:t xml:space="preserve">and further in our </w:t>
      </w:r>
      <w:hyperlink r:id="rId9" w:history="1">
        <w:r w:rsidR="001D3982" w:rsidRPr="00493BD9">
          <w:rPr>
            <w:rStyle w:val="Hyperlink"/>
            <w:rFonts w:ascii="Century Gothic" w:hAnsi="Century Gothic"/>
            <w:sz w:val="20"/>
            <w:szCs w:val="20"/>
          </w:rPr>
          <w:t>procurement guide</w:t>
        </w:r>
      </w:hyperlink>
      <w:r w:rsidRPr="00D4389E">
        <w:rPr>
          <w:rFonts w:ascii="Century Gothic" w:hAnsi="Century Gothic"/>
          <w:sz w:val="20"/>
          <w:szCs w:val="20"/>
        </w:rPr>
        <w:t xml:space="preserve">. </w:t>
      </w:r>
      <w:r w:rsidR="000C446D" w:rsidRPr="00D4389E">
        <w:rPr>
          <w:rFonts w:ascii="Century Gothic" w:hAnsi="Century Gothic"/>
          <w:sz w:val="20"/>
          <w:szCs w:val="20"/>
        </w:rPr>
        <w:t>Unsustainable sourcing practices can lead to resource depletion, generation of packaging waste, a significant carbon footprint associated with transportation, and the potential support of unethical employment practices.</w:t>
      </w:r>
    </w:p>
    <w:p w14:paraId="1603D9BC" w14:textId="5E7E5C71" w:rsidR="00AE305B" w:rsidRPr="00D4389E" w:rsidRDefault="00B313F0" w:rsidP="00AE305B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Purchasing goods and services</w:t>
      </w:r>
      <w:r w:rsidR="002E78FB" w:rsidRPr="00D4389E">
        <w:rPr>
          <w:rFonts w:ascii="Century Gothic" w:hAnsi="Century Gothic"/>
          <w:sz w:val="20"/>
          <w:szCs w:val="20"/>
        </w:rPr>
        <w:t>, commercial operations</w:t>
      </w:r>
    </w:p>
    <w:p w14:paraId="5A558BE7" w14:textId="17232256" w:rsidR="002E78FB" w:rsidRPr="00D4389E" w:rsidRDefault="002E78FB" w:rsidP="002E78FB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Purchasing goods and services, membership services</w:t>
      </w:r>
    </w:p>
    <w:p w14:paraId="61D1DB5B" w14:textId="4178189B" w:rsidR="00B91773" w:rsidRPr="00D4389E" w:rsidRDefault="00B91773" w:rsidP="002E78FB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Packaging waste from received items</w:t>
      </w:r>
    </w:p>
    <w:p w14:paraId="4A316A99" w14:textId="5763AEF7" w:rsidR="00B91773" w:rsidRPr="00D4389E" w:rsidRDefault="00B91773" w:rsidP="002E78FB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4389E">
        <w:rPr>
          <w:rFonts w:ascii="Century Gothic" w:hAnsi="Century Gothic"/>
          <w:sz w:val="20"/>
          <w:szCs w:val="20"/>
        </w:rPr>
        <w:t>Longevity/lifespan of items</w:t>
      </w:r>
    </w:p>
    <w:p w14:paraId="28B50E51" w14:textId="77777777" w:rsidR="00E87511" w:rsidRPr="00D4389E" w:rsidRDefault="00E87511" w:rsidP="00E87511">
      <w:pPr>
        <w:rPr>
          <w:sz w:val="20"/>
          <w:szCs w:val="20"/>
        </w:rPr>
      </w:pPr>
    </w:p>
    <w:p w14:paraId="59237334" w14:textId="511BB273" w:rsidR="00530635" w:rsidRPr="00E502FA" w:rsidRDefault="00530635">
      <w:pPr>
        <w:rPr>
          <w:color w:val="F2F2F2" w:themeColor="background1" w:themeShade="F2"/>
          <w:sz w:val="20"/>
          <w:szCs w:val="20"/>
        </w:rPr>
      </w:pPr>
      <w:r w:rsidRPr="00E502FA">
        <w:rPr>
          <w:color w:val="F2F2F2" w:themeColor="background1" w:themeShade="F2"/>
          <w:sz w:val="20"/>
          <w:szCs w:val="20"/>
        </w:rPr>
        <w:t xml:space="preserve"> </w:t>
      </w:r>
    </w:p>
    <w:sectPr w:rsidR="00530635" w:rsidRPr="00E50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mon/Milk">
    <w:panose1 w:val="020B0603050302020204"/>
    <w:charset w:val="00"/>
    <w:family w:val="swiss"/>
    <w:notTrueType/>
    <w:pitch w:val="variable"/>
    <w:sig w:usb0="8000000F" w:usb1="00000002" w:usb2="00000000" w:usb3="00000000" w:csb0="0000001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mon/Milk light">
    <w:panose1 w:val="020B0303050302020204"/>
    <w:charset w:val="00"/>
    <w:family w:val="swiss"/>
    <w:notTrueType/>
    <w:pitch w:val="variable"/>
    <w:sig w:usb0="8000000F" w:usb1="00000002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F3FBC"/>
    <w:multiLevelType w:val="hybridMultilevel"/>
    <w:tmpl w:val="55167DB4"/>
    <w:lvl w:ilvl="0" w:tplc="03202B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A1"/>
    <w:rsid w:val="00007C33"/>
    <w:rsid w:val="000902D4"/>
    <w:rsid w:val="000B7188"/>
    <w:rsid w:val="000C446D"/>
    <w:rsid w:val="000D2E16"/>
    <w:rsid w:val="000E5957"/>
    <w:rsid w:val="000E7C7A"/>
    <w:rsid w:val="00120380"/>
    <w:rsid w:val="00125834"/>
    <w:rsid w:val="001D3982"/>
    <w:rsid w:val="00242971"/>
    <w:rsid w:val="0024452E"/>
    <w:rsid w:val="00262DE4"/>
    <w:rsid w:val="002B1EA1"/>
    <w:rsid w:val="002E78FB"/>
    <w:rsid w:val="002E7F3A"/>
    <w:rsid w:val="003A2E8D"/>
    <w:rsid w:val="00404E3D"/>
    <w:rsid w:val="00441036"/>
    <w:rsid w:val="00442CB8"/>
    <w:rsid w:val="00456FFA"/>
    <w:rsid w:val="0047597E"/>
    <w:rsid w:val="00482AF0"/>
    <w:rsid w:val="00493BD9"/>
    <w:rsid w:val="0049702A"/>
    <w:rsid w:val="004A15E7"/>
    <w:rsid w:val="004B15B3"/>
    <w:rsid w:val="004E0D18"/>
    <w:rsid w:val="004E438A"/>
    <w:rsid w:val="00530635"/>
    <w:rsid w:val="00577DC6"/>
    <w:rsid w:val="00596168"/>
    <w:rsid w:val="005A40F3"/>
    <w:rsid w:val="005A7DB3"/>
    <w:rsid w:val="005D54A4"/>
    <w:rsid w:val="005E1726"/>
    <w:rsid w:val="005E1D38"/>
    <w:rsid w:val="00600A33"/>
    <w:rsid w:val="006113CB"/>
    <w:rsid w:val="00671343"/>
    <w:rsid w:val="006B426B"/>
    <w:rsid w:val="006E7A23"/>
    <w:rsid w:val="006F5D8E"/>
    <w:rsid w:val="0071697E"/>
    <w:rsid w:val="00717EA8"/>
    <w:rsid w:val="00721AB1"/>
    <w:rsid w:val="007911AC"/>
    <w:rsid w:val="007B612D"/>
    <w:rsid w:val="007C0AB5"/>
    <w:rsid w:val="007C5824"/>
    <w:rsid w:val="00846353"/>
    <w:rsid w:val="008D4D25"/>
    <w:rsid w:val="00910A73"/>
    <w:rsid w:val="00950DA7"/>
    <w:rsid w:val="00980F42"/>
    <w:rsid w:val="00A130B1"/>
    <w:rsid w:val="00A70E96"/>
    <w:rsid w:val="00AA4D7C"/>
    <w:rsid w:val="00AD4E7B"/>
    <w:rsid w:val="00AE305B"/>
    <w:rsid w:val="00B24D5D"/>
    <w:rsid w:val="00B313F0"/>
    <w:rsid w:val="00B72F49"/>
    <w:rsid w:val="00B91773"/>
    <w:rsid w:val="00BA47A3"/>
    <w:rsid w:val="00C20564"/>
    <w:rsid w:val="00C233A5"/>
    <w:rsid w:val="00C46056"/>
    <w:rsid w:val="00C4738D"/>
    <w:rsid w:val="00C575CB"/>
    <w:rsid w:val="00C74F45"/>
    <w:rsid w:val="00C90966"/>
    <w:rsid w:val="00CD669F"/>
    <w:rsid w:val="00D4389E"/>
    <w:rsid w:val="00D74472"/>
    <w:rsid w:val="00DA75D7"/>
    <w:rsid w:val="00DF141D"/>
    <w:rsid w:val="00E502FA"/>
    <w:rsid w:val="00E87511"/>
    <w:rsid w:val="00E91D20"/>
    <w:rsid w:val="00ED7C22"/>
    <w:rsid w:val="00F51343"/>
    <w:rsid w:val="00F8201F"/>
    <w:rsid w:val="00FB65A0"/>
    <w:rsid w:val="1F3E5340"/>
    <w:rsid w:val="32B2C930"/>
    <w:rsid w:val="3619A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6504"/>
  <w15:chartTrackingRefBased/>
  <w15:docId w15:val="{614426AF-747E-4FAA-BE0F-912787F3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E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7C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C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C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ssets.prod.unioncloud-internal.com/document/documents/108151/3981ba4c47819669a614e07c14f93bd7/Policy_-_Sustainability_for_senate_approv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9b1597-dbcb-483b-bad1-03ae643544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CC957A07FCD458BC127CE865FFE01" ma:contentTypeVersion="17" ma:contentTypeDescription="Create a new document." ma:contentTypeScope="" ma:versionID="0d232197cbc516170d0e43c3c8343def">
  <xsd:schema xmlns:xsd="http://www.w3.org/2001/XMLSchema" xmlns:xs="http://www.w3.org/2001/XMLSchema" xmlns:p="http://schemas.microsoft.com/office/2006/metadata/properties" xmlns:ns3="367f3ee4-666d-4014-a6af-b5b6b2505f10" xmlns:ns4="7b9b1597-dbcb-483b-bad1-03ae64354482" targetNamespace="http://schemas.microsoft.com/office/2006/metadata/properties" ma:root="true" ma:fieldsID="f9604c9cdc24c177daba06a26c02950e" ns3:_="" ns4:_="">
    <xsd:import namespace="367f3ee4-666d-4014-a6af-b5b6b2505f10"/>
    <xsd:import namespace="7b9b1597-dbcb-483b-bad1-03ae643544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f3ee4-666d-4014-a6af-b5b6b2505f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b1597-dbcb-483b-bad1-03ae64354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390D4-4F30-43AA-B5A4-1E0675F8058E}">
  <ds:schemaRefs>
    <ds:schemaRef ds:uri="http://schemas.microsoft.com/office/2006/metadata/properties"/>
    <ds:schemaRef ds:uri="http://schemas.microsoft.com/office/infopath/2007/PartnerControls"/>
    <ds:schemaRef ds:uri="7b9b1597-dbcb-483b-bad1-03ae64354482"/>
  </ds:schemaRefs>
</ds:datastoreItem>
</file>

<file path=customXml/itemProps2.xml><?xml version="1.0" encoding="utf-8"?>
<ds:datastoreItem xmlns:ds="http://schemas.openxmlformats.org/officeDocument/2006/customXml" ds:itemID="{602C61B1-FF30-4F41-8EED-0713FFA08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940FB-09A9-4A3C-BFA5-7A5755AF9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f3ee4-666d-4014-a6af-b5b6b2505f10"/>
    <ds:schemaRef ds:uri="7b9b1597-dbcb-483b-bad1-03ae64354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4065</Characters>
  <Application>Microsoft Office Word</Application>
  <DocSecurity>4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Hodgson</dc:creator>
  <cp:keywords/>
  <dc:description/>
  <cp:lastModifiedBy>Holly Tate</cp:lastModifiedBy>
  <cp:revision>2</cp:revision>
  <dcterms:created xsi:type="dcterms:W3CDTF">2024-04-26T10:05:00Z</dcterms:created>
  <dcterms:modified xsi:type="dcterms:W3CDTF">2024-04-26T10:05:00Z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0x01010054ECC957A07FCD458BC127CE865FFE01</vt:lpwstr>
  </property>
</Properties>
</file>